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6833" w14:textId="7AF7EE7E" w:rsidR="00AB7294" w:rsidRPr="00627E88" w:rsidRDefault="00AB7294" w:rsidP="00AB7294">
      <w:pPr>
        <w:jc w:val="center"/>
        <w:rPr>
          <w:rFonts w:ascii="Comic Sans MS" w:hAnsi="Comic Sans MS"/>
          <w:b/>
          <w:bCs/>
          <w:noProof/>
          <w:sz w:val="28"/>
          <w:szCs w:val="28"/>
        </w:rPr>
      </w:pPr>
      <w:r w:rsidRPr="00627E88">
        <w:rPr>
          <w:rFonts w:ascii="Comic Sans MS" w:hAnsi="Comic Sans MS"/>
          <w:b/>
          <w:bCs/>
          <w:noProof/>
          <w:sz w:val="28"/>
          <w:szCs w:val="28"/>
        </w:rPr>
        <w:t>PROGETTO GOI: PROGRAMMA DI SVILUPPO RURALE 2014-2020</w:t>
      </w:r>
    </w:p>
    <w:p w14:paraId="576CE3FD" w14:textId="45ADD68F" w:rsidR="00627E88" w:rsidRPr="00627E88" w:rsidRDefault="00627E88" w:rsidP="00627E88">
      <w:pPr>
        <w:pStyle w:val="Default"/>
        <w:spacing w:before="120"/>
        <w:jc w:val="center"/>
        <w:rPr>
          <w:b/>
          <w:bCs/>
          <w:sz w:val="28"/>
          <w:szCs w:val="28"/>
        </w:rPr>
      </w:pPr>
      <w: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VALBENQUA</w:t>
      </w:r>
    </w:p>
    <w:p w14:paraId="5194152A" w14:textId="77777777" w:rsidR="0031222E" w:rsidRPr="001F4C76" w:rsidRDefault="0031222E" w:rsidP="0031222E">
      <w:pPr>
        <w:spacing w:after="120"/>
        <w:outlineLvl w:val="0"/>
        <w:rPr>
          <w:rFonts w:ascii="Montserrat" w:eastAsia="Times New Roman" w:hAnsi="Montserrat" w:cs="Times New Roman"/>
          <w:b/>
          <w:bCs/>
          <w:color w:val="DE006E"/>
          <w:kern w:val="36"/>
          <w:sz w:val="48"/>
          <w:szCs w:val="48"/>
          <w:lang w:eastAsia="it-IT"/>
        </w:rPr>
      </w:pPr>
      <w:proofErr w:type="spellStart"/>
      <w:r w:rsidRPr="001F4C76">
        <w:rPr>
          <w:rFonts w:ascii="Montserrat" w:eastAsia="Times New Roman" w:hAnsi="Montserrat" w:cs="Times New Roman"/>
          <w:b/>
          <w:bCs/>
          <w:color w:val="DE006E"/>
          <w:kern w:val="36"/>
          <w:sz w:val="48"/>
          <w:szCs w:val="48"/>
          <w:lang w:eastAsia="it-IT"/>
        </w:rPr>
        <w:t>Valbenqua</w:t>
      </w:r>
      <w:proofErr w:type="spellEnd"/>
    </w:p>
    <w:p w14:paraId="38FCD7C8" w14:textId="77777777" w:rsidR="0031222E" w:rsidRPr="001F4C76" w:rsidRDefault="0031222E" w:rsidP="0031222E">
      <w:pPr>
        <w:spacing w:after="120"/>
        <w:jc w:val="both"/>
        <w:outlineLvl w:val="2"/>
        <w:rPr>
          <w:rFonts w:ascii="Times New Roman" w:eastAsia="Times New Roman" w:hAnsi="Times New Roman" w:cs="Times New Roman"/>
          <w:b/>
          <w:bCs/>
          <w:color w:val="213457"/>
          <w:lang w:eastAsia="it-IT"/>
        </w:rPr>
      </w:pPr>
      <w:r w:rsidRPr="001F4C76">
        <w:rPr>
          <w:rFonts w:ascii="Times New Roman" w:eastAsia="Times New Roman" w:hAnsi="Times New Roman" w:cs="Times New Roman"/>
          <w:b/>
          <w:bCs/>
          <w:color w:val="213457"/>
          <w:lang w:eastAsia="it-IT"/>
        </w:rPr>
        <w:t>Progetto GOI – Programma di Sviluppo Rurale 2014-2020</w:t>
      </w:r>
    </w:p>
    <w:p w14:paraId="56EEE03B" w14:textId="77777777" w:rsidR="0031222E" w:rsidRPr="001F4C76" w:rsidRDefault="0031222E" w:rsidP="0031222E">
      <w:pPr>
        <w:spacing w:after="120"/>
        <w:jc w:val="both"/>
        <w:outlineLvl w:val="2"/>
        <w:rPr>
          <w:rFonts w:ascii="Times New Roman" w:eastAsia="Times New Roman" w:hAnsi="Times New Roman" w:cs="Times New Roman"/>
          <w:b/>
          <w:bCs/>
          <w:color w:val="213457"/>
          <w:lang w:eastAsia="it-IT"/>
        </w:rPr>
      </w:pPr>
      <w:r w:rsidRPr="001F4C76">
        <w:rPr>
          <w:rFonts w:ascii="Times New Roman" w:eastAsia="Times New Roman" w:hAnsi="Times New Roman" w:cs="Times New Roman"/>
          <w:b/>
          <w:bCs/>
          <w:color w:val="213457"/>
          <w:lang w:eastAsia="it-IT"/>
        </w:rPr>
        <w:t>Il Progetto</w:t>
      </w:r>
    </w:p>
    <w:p w14:paraId="251D29B4"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Un </w:t>
      </w:r>
      <w:r w:rsidRPr="001F4C76">
        <w:rPr>
          <w:rFonts w:ascii="Times New Roman" w:eastAsia="Times New Roman" w:hAnsi="Times New Roman" w:cs="Times New Roman"/>
          <w:b/>
          <w:bCs/>
          <w:lang w:eastAsia="it-IT"/>
        </w:rPr>
        <w:t>Gruppo Operativo (GO)</w:t>
      </w:r>
      <w:r w:rsidRPr="001F4C76">
        <w:rPr>
          <w:rFonts w:ascii="Times New Roman" w:eastAsia="Times New Roman" w:hAnsi="Times New Roman" w:cs="Times New Roman"/>
          <w:lang w:eastAsia="it-IT"/>
        </w:rPr>
        <w:t> del </w:t>
      </w:r>
      <w:r w:rsidRPr="001F4C76">
        <w:rPr>
          <w:rFonts w:ascii="Times New Roman" w:eastAsia="Times New Roman" w:hAnsi="Times New Roman" w:cs="Times New Roman"/>
          <w:b/>
          <w:bCs/>
          <w:lang w:eastAsia="it-IT"/>
        </w:rPr>
        <w:t xml:space="preserve">Partenariato Europeo per </w:t>
      </w:r>
      <w:proofErr w:type="gramStart"/>
      <w:r w:rsidRPr="001F4C76">
        <w:rPr>
          <w:rFonts w:ascii="Times New Roman" w:eastAsia="Times New Roman" w:hAnsi="Times New Roman" w:cs="Times New Roman"/>
          <w:b/>
          <w:bCs/>
          <w:lang w:eastAsia="it-IT"/>
        </w:rPr>
        <w:t>l’ Innovazione</w:t>
      </w:r>
      <w:proofErr w:type="gramEnd"/>
      <w:r w:rsidRPr="001F4C76">
        <w:rPr>
          <w:rFonts w:ascii="Times New Roman" w:eastAsia="Times New Roman" w:hAnsi="Times New Roman" w:cs="Times New Roman"/>
          <w:b/>
          <w:bCs/>
          <w:lang w:eastAsia="it-IT"/>
        </w:rPr>
        <w:t xml:space="preserve"> in materia di produttività e sostenibilità dell’agricoltura</w:t>
      </w:r>
      <w:r w:rsidRPr="001F4C76">
        <w:rPr>
          <w:rFonts w:ascii="Times New Roman" w:eastAsia="Times New Roman" w:hAnsi="Times New Roman" w:cs="Times New Roman"/>
          <w:lang w:eastAsia="it-IT"/>
        </w:rPr>
        <w:t> (PEI AGRI) è uno strumento per la diffusione delle innovazioni nel settore agroalimentare e forestale che ha l’obiettivo di individuare soluzioni innovative a specifici problemi o di promuovere opportunità per le imprese agricole.</w:t>
      </w:r>
    </w:p>
    <w:p w14:paraId="6AD591F0"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La creazione dei GO è sostenuta finanziariamente dai </w:t>
      </w:r>
      <w:r w:rsidRPr="001F4C76">
        <w:rPr>
          <w:rFonts w:ascii="Times New Roman" w:eastAsia="Times New Roman" w:hAnsi="Times New Roman" w:cs="Times New Roman"/>
          <w:b/>
          <w:bCs/>
          <w:lang w:eastAsia="it-IT"/>
        </w:rPr>
        <w:t>Programmi di Sviluppo Rurale (PSR)</w:t>
      </w:r>
      <w:r w:rsidRPr="001F4C76">
        <w:rPr>
          <w:rFonts w:ascii="Times New Roman" w:eastAsia="Times New Roman" w:hAnsi="Times New Roman" w:cs="Times New Roman"/>
          <w:lang w:eastAsia="it-IT"/>
        </w:rPr>
        <w:t>della regione nell’ambito delle sottomisure 16.1 e 16.2.</w:t>
      </w:r>
    </w:p>
    <w:p w14:paraId="1E4CA331"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Nei progetti dei GO, gli attori della filiera dell’innovazione – imprese agricole, forestali, agroalimentari, centri di ricerca, università, organizzazioni di consulenza, ecc. – agiscono insieme per testare e diffondere una o più innovazioni in un dato contesto, coinvolgendo anche altre imprese del territorio mediante attività di consulenza e divulgazione.</w:t>
      </w:r>
    </w:p>
    <w:p w14:paraId="7D1D6424" w14:textId="77777777" w:rsidR="0031222E" w:rsidRPr="001F4C76" w:rsidRDefault="0031222E" w:rsidP="0031222E">
      <w:pPr>
        <w:spacing w:after="120"/>
        <w:jc w:val="both"/>
        <w:outlineLvl w:val="2"/>
        <w:rPr>
          <w:rFonts w:ascii="Times New Roman" w:eastAsia="Times New Roman" w:hAnsi="Times New Roman" w:cs="Times New Roman"/>
          <w:b/>
          <w:bCs/>
          <w:color w:val="213457"/>
          <w:lang w:eastAsia="it-IT"/>
        </w:rPr>
      </w:pPr>
      <w:r w:rsidRPr="001F4C76">
        <w:rPr>
          <w:rFonts w:ascii="Times New Roman" w:eastAsia="Times New Roman" w:hAnsi="Times New Roman" w:cs="Times New Roman"/>
          <w:b/>
          <w:bCs/>
          <w:color w:val="213457"/>
          <w:lang w:eastAsia="it-IT"/>
        </w:rPr>
        <w:t>Programma di Sviluppo Rurale 2014-2020 – Regione Emilia-Romagna</w:t>
      </w:r>
    </w:p>
    <w:p w14:paraId="6B97B502"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Gruppi operativi del </w:t>
      </w:r>
      <w:r w:rsidRPr="001F4C76">
        <w:rPr>
          <w:rFonts w:ascii="Times New Roman" w:eastAsia="Times New Roman" w:hAnsi="Times New Roman" w:cs="Times New Roman"/>
          <w:b/>
          <w:bCs/>
          <w:lang w:eastAsia="it-IT"/>
        </w:rPr>
        <w:t>PEI</w:t>
      </w:r>
      <w:r w:rsidRPr="001F4C76">
        <w:rPr>
          <w:rFonts w:ascii="Times New Roman" w:eastAsia="Times New Roman" w:hAnsi="Times New Roman" w:cs="Times New Roman"/>
          <w:lang w:eastAsia="it-IT"/>
        </w:rPr>
        <w:t> per produttività e sostenibilità dell’agricoltura </w:t>
      </w:r>
      <w:r w:rsidRPr="001F4C76">
        <w:rPr>
          <w:rFonts w:ascii="Times New Roman" w:eastAsia="Times New Roman" w:hAnsi="Times New Roman" w:cs="Times New Roman"/>
          <w:b/>
          <w:bCs/>
          <w:lang w:eastAsia="it-IT"/>
        </w:rPr>
        <w:t>Progetti Pilota/Supporto</w:t>
      </w:r>
      <w:r w:rsidRPr="001F4C76">
        <w:rPr>
          <w:rFonts w:ascii="Times New Roman" w:eastAsia="Times New Roman" w:hAnsi="Times New Roman" w:cs="Times New Roman"/>
          <w:lang w:eastAsia="it-IT"/>
        </w:rPr>
        <w:t> per sviluppo di nuovi prodotti, pratiche, processi e tecnologie nel settore agroalimentare e forestale/ Approcci collettivi riduzione Gas serra.</w:t>
      </w:r>
    </w:p>
    <w:p w14:paraId="3607F85A"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Bando relativo all’operazione “</w:t>
      </w:r>
      <w:r w:rsidRPr="001F4C76">
        <w:rPr>
          <w:rFonts w:ascii="Times New Roman" w:eastAsia="Times New Roman" w:hAnsi="Times New Roman" w:cs="Times New Roman"/>
          <w:i/>
          <w:iCs/>
          <w:lang w:eastAsia="it-IT"/>
        </w:rPr>
        <w:t xml:space="preserve">16.1.01 – F3A – Gruppi operativi del partenariato europeo per la produttività e la sostenibilità </w:t>
      </w:r>
      <w:proofErr w:type="gramStart"/>
      <w:r w:rsidRPr="001F4C76">
        <w:rPr>
          <w:rFonts w:ascii="Times New Roman" w:eastAsia="Times New Roman" w:hAnsi="Times New Roman" w:cs="Times New Roman"/>
          <w:i/>
          <w:iCs/>
          <w:lang w:eastAsia="it-IT"/>
        </w:rPr>
        <w:t>dell’agricoltura</w:t>
      </w:r>
      <w:r w:rsidRPr="001F4C76">
        <w:rPr>
          <w:rFonts w:ascii="Times New Roman" w:eastAsia="Times New Roman" w:hAnsi="Times New Roman" w:cs="Times New Roman"/>
          <w:lang w:eastAsia="it-IT"/>
        </w:rPr>
        <w:t>“</w:t>
      </w:r>
      <w:proofErr w:type="gramEnd"/>
      <w:r w:rsidRPr="001F4C76">
        <w:rPr>
          <w:rFonts w:ascii="Times New Roman" w:eastAsia="Times New Roman" w:hAnsi="Times New Roman" w:cs="Times New Roman"/>
          <w:lang w:eastAsia="it-IT"/>
        </w:rPr>
        <w:t>.</w:t>
      </w:r>
    </w:p>
    <w:p w14:paraId="6ACF5A74" w14:textId="77777777" w:rsidR="0031222E" w:rsidRPr="001F4C76" w:rsidRDefault="0031222E" w:rsidP="0031222E">
      <w:pPr>
        <w:numPr>
          <w:ilvl w:val="0"/>
          <w:numId w:val="2"/>
        </w:numPr>
        <w:spacing w:before="100" w:beforeAutospacing="1" w:after="144"/>
        <w:ind w:left="1032"/>
        <w:jc w:val="both"/>
        <w:rPr>
          <w:rFonts w:ascii="Times New Roman" w:eastAsia="Times New Roman" w:hAnsi="Times New Roman" w:cs="Times New Roman"/>
          <w:lang w:eastAsia="it-IT"/>
        </w:rPr>
      </w:pPr>
      <w:r w:rsidRPr="001F4C76">
        <w:rPr>
          <w:rFonts w:ascii="Times New Roman" w:eastAsia="Times New Roman" w:hAnsi="Times New Roman" w:cs="Times New Roman"/>
          <w:b/>
          <w:bCs/>
          <w:lang w:eastAsia="it-IT"/>
        </w:rPr>
        <w:t>Anno</w:t>
      </w:r>
      <w:r w:rsidRPr="001F4C76">
        <w:rPr>
          <w:rFonts w:ascii="Times New Roman" w:eastAsia="Times New Roman" w:hAnsi="Times New Roman" w:cs="Times New Roman"/>
          <w:lang w:eastAsia="it-IT"/>
        </w:rPr>
        <w:t>: 2020</w:t>
      </w:r>
    </w:p>
    <w:p w14:paraId="2FCDF21A" w14:textId="77777777" w:rsidR="0031222E" w:rsidRPr="001F4C76" w:rsidRDefault="0031222E" w:rsidP="0031222E">
      <w:pPr>
        <w:numPr>
          <w:ilvl w:val="0"/>
          <w:numId w:val="2"/>
        </w:numPr>
        <w:spacing w:before="100" w:beforeAutospacing="1" w:after="144"/>
        <w:ind w:left="1032"/>
        <w:jc w:val="both"/>
        <w:rPr>
          <w:rFonts w:ascii="Times New Roman" w:eastAsia="Times New Roman" w:hAnsi="Times New Roman" w:cs="Times New Roman"/>
          <w:lang w:eastAsia="it-IT"/>
        </w:rPr>
      </w:pPr>
      <w:r w:rsidRPr="001F4C76">
        <w:rPr>
          <w:rFonts w:ascii="Times New Roman" w:eastAsia="Times New Roman" w:hAnsi="Times New Roman" w:cs="Times New Roman"/>
          <w:b/>
          <w:bCs/>
          <w:lang w:eastAsia="it-IT"/>
        </w:rPr>
        <w:t>Focus Area 3A</w:t>
      </w:r>
      <w:r w:rsidRPr="001F4C76">
        <w:rPr>
          <w:rFonts w:ascii="Times New Roman" w:eastAsia="Times New Roman" w:hAnsi="Times New Roman" w:cs="Times New Roman"/>
          <w:lang w:eastAsia="it-IT"/>
        </w:rPr>
        <w:t>: Migliorare la competitività dei produttori primari integrandoli meglio nella filiera agroalimentare attraverso i regimi di qualità, la creazione di un valore aggiunto per i prodotti agricoli, la promozione dei prodotti nei mercati locali, le filiere corte, le associazioni e organizzazioni di produttori e le organizzazioni interprofessionali.</w:t>
      </w:r>
    </w:p>
    <w:p w14:paraId="0ACDA0E5" w14:textId="77777777" w:rsidR="0031222E" w:rsidRPr="001F4C76" w:rsidRDefault="0031222E" w:rsidP="0031222E">
      <w:pPr>
        <w:numPr>
          <w:ilvl w:val="0"/>
          <w:numId w:val="2"/>
        </w:numPr>
        <w:spacing w:before="100" w:beforeAutospacing="1" w:after="144"/>
        <w:ind w:left="1032"/>
        <w:jc w:val="both"/>
        <w:rPr>
          <w:rFonts w:ascii="Times New Roman" w:eastAsia="Times New Roman" w:hAnsi="Times New Roman" w:cs="Times New Roman"/>
          <w:lang w:eastAsia="it-IT"/>
        </w:rPr>
      </w:pPr>
      <w:r w:rsidRPr="001F4C76">
        <w:rPr>
          <w:rFonts w:ascii="Times New Roman" w:eastAsia="Times New Roman" w:hAnsi="Times New Roman" w:cs="Times New Roman"/>
          <w:b/>
          <w:bCs/>
          <w:lang w:eastAsia="it-IT"/>
        </w:rPr>
        <w:t xml:space="preserve">Titolo del </w:t>
      </w:r>
      <w:proofErr w:type="spellStart"/>
      <w:proofErr w:type="gramStart"/>
      <w:r w:rsidRPr="001F4C76">
        <w:rPr>
          <w:rFonts w:ascii="Times New Roman" w:eastAsia="Times New Roman" w:hAnsi="Times New Roman" w:cs="Times New Roman"/>
          <w:b/>
          <w:bCs/>
          <w:lang w:eastAsia="it-IT"/>
        </w:rPr>
        <w:t>GOI</w:t>
      </w:r>
      <w:r w:rsidRPr="001F4C76">
        <w:rPr>
          <w:rFonts w:ascii="Times New Roman" w:eastAsia="Times New Roman" w:hAnsi="Times New Roman" w:cs="Times New Roman"/>
          <w:lang w:eastAsia="it-IT"/>
        </w:rPr>
        <w:t>:Valorizzazione</w:t>
      </w:r>
      <w:proofErr w:type="spellEnd"/>
      <w:proofErr w:type="gramEnd"/>
      <w:r w:rsidRPr="001F4C76">
        <w:rPr>
          <w:rFonts w:ascii="Times New Roman" w:eastAsia="Times New Roman" w:hAnsi="Times New Roman" w:cs="Times New Roman"/>
          <w:lang w:eastAsia="it-IT"/>
        </w:rPr>
        <w:t xml:space="preserve"> delle partite di suino al macello sulla base del benessere animale e della qualità di carcassa</w:t>
      </w:r>
    </w:p>
    <w:p w14:paraId="0DA235AE" w14:textId="77777777" w:rsidR="0031222E" w:rsidRPr="001F4C76" w:rsidRDefault="0031222E" w:rsidP="0031222E">
      <w:pPr>
        <w:numPr>
          <w:ilvl w:val="0"/>
          <w:numId w:val="2"/>
        </w:numPr>
        <w:spacing w:before="100" w:beforeAutospacing="1" w:after="144"/>
        <w:ind w:left="1032"/>
        <w:jc w:val="both"/>
        <w:rPr>
          <w:rFonts w:ascii="Times New Roman" w:eastAsia="Times New Roman" w:hAnsi="Times New Roman" w:cs="Times New Roman"/>
          <w:lang w:eastAsia="it-IT"/>
        </w:rPr>
      </w:pPr>
      <w:r w:rsidRPr="001F4C76">
        <w:rPr>
          <w:rFonts w:ascii="Times New Roman" w:eastAsia="Times New Roman" w:hAnsi="Times New Roman" w:cs="Times New Roman"/>
          <w:b/>
          <w:bCs/>
          <w:lang w:eastAsia="it-IT"/>
        </w:rPr>
        <w:t>Acronimo</w:t>
      </w:r>
      <w:r w:rsidRPr="001F4C76">
        <w:rPr>
          <w:rFonts w:ascii="Times New Roman" w:eastAsia="Times New Roman" w:hAnsi="Times New Roman" w:cs="Times New Roman"/>
          <w:lang w:eastAsia="it-IT"/>
        </w:rPr>
        <w:t>: GO “VALBENQUA”</w:t>
      </w:r>
    </w:p>
    <w:p w14:paraId="22F20870" w14:textId="77777777" w:rsidR="0031222E" w:rsidRPr="001F4C76" w:rsidRDefault="0031222E" w:rsidP="0031222E">
      <w:pPr>
        <w:spacing w:after="120"/>
        <w:jc w:val="both"/>
        <w:outlineLvl w:val="2"/>
        <w:rPr>
          <w:rFonts w:ascii="Times New Roman" w:eastAsia="Times New Roman" w:hAnsi="Times New Roman" w:cs="Times New Roman"/>
          <w:b/>
          <w:bCs/>
          <w:color w:val="213457"/>
          <w:lang w:eastAsia="it-IT"/>
        </w:rPr>
      </w:pPr>
      <w:r w:rsidRPr="001F4C76">
        <w:rPr>
          <w:rFonts w:ascii="Times New Roman" w:eastAsia="Times New Roman" w:hAnsi="Times New Roman" w:cs="Times New Roman"/>
          <w:b/>
          <w:bCs/>
          <w:color w:val="213457"/>
          <w:lang w:eastAsia="it-IT"/>
        </w:rPr>
        <w:t>Gli Obiettivi</w:t>
      </w:r>
    </w:p>
    <w:p w14:paraId="3A3A7B51"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 xml:space="preserve"> L’obiettivo generale del presente progetto consiste nel definire un sistema di pagamento a qualità del suino nato, allevato, macellato in Italia basato sul benessere animale in allevamento e sulla qualità di partita alla macellazione. Il primo obiettivo specifico riguarda la fase d’allevamento basata su indicatori di benessere animale, quali il controllo ambientale delle porcilaie e i materiali per esplorazione e manipolazione. In particolare, la definizione di corrette procedure di autocontrollo per gli aspetti riguardanti l’ambiente (ventilazione, parametri microclimatici e ambientali, ecc.) e i materiali di esplorazione e manipolazione e nella realizzazione di un sistema informatico di verifica delle procedure di autocontrollo a supporto per l’assegnazione dei possibili premi qualità. Il secondo obiettivo specifico riguarda la fase di macellazione dove </w:t>
      </w:r>
      <w:r w:rsidRPr="001F4C76">
        <w:rPr>
          <w:rFonts w:ascii="Times New Roman" w:eastAsia="Times New Roman" w:hAnsi="Times New Roman" w:cs="Times New Roman"/>
          <w:lang w:eastAsia="it-IT"/>
        </w:rPr>
        <w:lastRenderedPageBreak/>
        <w:t>il sistema di pagamento a qualità sarà basato su specifici indici di partita: omogeneità in peso alla consegna, resa in coscia e lombo, difettosità coscia compresi i resi. I dati raccolti aggregati saranno utilizzati nella definizione di un sistema di pagamento a qualità. Il lavoro si inserisce in un percorso innovativo di sistema, al fine di favorire e promuovere il rafforzamento organizzativo della filiera suinicola in termini di qualificazione di prodotto italiano SQN (Sistema Qualità Nazionale) e/o di suino nato, allevato, macellato in Italia a scelta da parte del produttore.</w:t>
      </w:r>
    </w:p>
    <w:p w14:paraId="7099A8F7"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Relativamente all’allevamento, verranno verificate le più idonee procedure di autocontrollo per gli aspetti riguardanti il controllo ambientale e i materiali per esplorazione e manipolazione e verrà testata la validità di un sistema informatico per la verifica delle procedure di autocontrollo di supporto per l’assegnazione dei possibili premi qualità legati al benessere animale.</w:t>
      </w:r>
    </w:p>
    <w:p w14:paraId="51F40411" w14:textId="77777777" w:rsidR="0031222E" w:rsidRPr="001F4C76" w:rsidRDefault="0031222E" w:rsidP="0031222E">
      <w:pPr>
        <w:spacing w:after="312"/>
        <w:jc w:val="both"/>
        <w:rPr>
          <w:rFonts w:ascii="Times New Roman" w:eastAsia="Times New Roman" w:hAnsi="Times New Roman" w:cs="Times New Roman"/>
          <w:lang w:eastAsia="it-IT"/>
        </w:rPr>
      </w:pPr>
      <w:r w:rsidRPr="001F4C76">
        <w:rPr>
          <w:rFonts w:ascii="Times New Roman" w:eastAsia="Times New Roman" w:hAnsi="Times New Roman" w:cs="Times New Roman"/>
          <w:lang w:eastAsia="it-IT"/>
        </w:rPr>
        <w:t>Relativamente al macello, sarà definito un modello di pagamento a qualità sulla base di indici definiti, quali: omogeneità della partita conferita, resa in lombo, resa in coscia, difettosità della coscia. Questo rappresenta una forte innovazione di processo finalizzato alla promozione della qualità DOP. Saranno pertanto definiti i range ottimali all’interno dei quali dovranno muoversi le carcasse, in peso, oltre quelli di resa dei due tagli più nobili della carcassa. Il tutto sarà accompagnato dalla valutazione diretta sulla coscia in termini di difetti visibili oltre che relativamente ai resi.</w:t>
      </w:r>
    </w:p>
    <w:p w14:paraId="32B6AFC0" w14:textId="77777777" w:rsidR="0031222E" w:rsidRPr="001F4C76" w:rsidRDefault="0031222E" w:rsidP="0031222E">
      <w:pPr>
        <w:rPr>
          <w:rFonts w:ascii="Times New Roman" w:eastAsia="Times New Roman" w:hAnsi="Times New Roman" w:cs="Times New Roman"/>
          <w:lang w:eastAsia="it-IT"/>
        </w:rPr>
      </w:pPr>
    </w:p>
    <w:p w14:paraId="25811DC3" w14:textId="77777777" w:rsidR="0031222E" w:rsidRDefault="0031222E" w:rsidP="0031222E"/>
    <w:p w14:paraId="56376A67" w14:textId="77777777" w:rsidR="00AB7294" w:rsidRDefault="00AB7294" w:rsidP="00AB7294"/>
    <w:p w14:paraId="09424E03" w14:textId="77777777" w:rsidR="0031222E" w:rsidRDefault="0031222E" w:rsidP="00AB7294"/>
    <w:p w14:paraId="4B2D2FA0" w14:textId="77777777" w:rsidR="0031222E" w:rsidRDefault="0031222E" w:rsidP="00AB7294"/>
    <w:p w14:paraId="63EE8DEF" w14:textId="77777777" w:rsidR="0031222E" w:rsidRDefault="0031222E" w:rsidP="00AB7294"/>
    <w:p w14:paraId="7D5BB815" w14:textId="77777777" w:rsidR="0031222E" w:rsidRDefault="0031222E" w:rsidP="00AB7294"/>
    <w:p w14:paraId="3DE88E38" w14:textId="77777777" w:rsidR="0031222E" w:rsidRDefault="0031222E" w:rsidP="00AB7294"/>
    <w:p w14:paraId="5461E3CB" w14:textId="77777777" w:rsidR="0031222E" w:rsidRDefault="0031222E" w:rsidP="00AB7294"/>
    <w:p w14:paraId="491E3191" w14:textId="77777777" w:rsidR="0031222E" w:rsidRDefault="0031222E" w:rsidP="00AB7294"/>
    <w:p w14:paraId="5D7814DF" w14:textId="77777777" w:rsidR="0031222E" w:rsidRDefault="0031222E" w:rsidP="00AB7294"/>
    <w:p w14:paraId="4ED8081A" w14:textId="77777777" w:rsidR="0031222E" w:rsidRDefault="0031222E" w:rsidP="00AB7294"/>
    <w:p w14:paraId="482D62CA" w14:textId="77777777" w:rsidR="0031222E" w:rsidRDefault="0031222E" w:rsidP="00AB7294"/>
    <w:p w14:paraId="2AEB362A" w14:textId="77777777" w:rsidR="0031222E" w:rsidRDefault="0031222E" w:rsidP="00AB7294"/>
    <w:p w14:paraId="6BD7CA35" w14:textId="77777777" w:rsidR="0031222E" w:rsidRDefault="0031222E" w:rsidP="00AB7294"/>
    <w:p w14:paraId="403A9F63" w14:textId="77777777" w:rsidR="0031222E" w:rsidRDefault="0031222E" w:rsidP="00AB7294"/>
    <w:p w14:paraId="651FCBB5" w14:textId="77777777" w:rsidR="0031222E" w:rsidRDefault="0031222E" w:rsidP="00AB7294"/>
    <w:p w14:paraId="3D09BEA8" w14:textId="77777777" w:rsidR="0031222E" w:rsidRDefault="0031222E" w:rsidP="00AB7294"/>
    <w:p w14:paraId="7BE5C328" w14:textId="77777777" w:rsidR="0031222E" w:rsidRDefault="0031222E" w:rsidP="00AB7294"/>
    <w:p w14:paraId="26575389" w14:textId="77777777" w:rsidR="0031222E" w:rsidRDefault="0031222E" w:rsidP="00AB7294"/>
    <w:p w14:paraId="65267808" w14:textId="77777777" w:rsidR="0031222E" w:rsidRDefault="0031222E" w:rsidP="00AB7294"/>
    <w:p w14:paraId="602B35CC" w14:textId="77777777" w:rsidR="0031222E" w:rsidRDefault="0031222E" w:rsidP="00AB7294"/>
    <w:p w14:paraId="60B2A341" w14:textId="77777777" w:rsidR="0031222E" w:rsidRDefault="0031222E" w:rsidP="00AB7294"/>
    <w:p w14:paraId="3CF65488" w14:textId="77777777" w:rsidR="0031222E" w:rsidRDefault="0031222E" w:rsidP="00AB7294"/>
    <w:p w14:paraId="5193D9AF" w14:textId="77777777" w:rsidR="00627E88" w:rsidRDefault="00627E88" w:rsidP="00627E88">
      <w:pPr>
        <w:jc w:val="center"/>
        <w:rPr>
          <w:rFonts w:ascii="Comic Sans MS" w:hAnsi="Comic Sans MS"/>
          <w:b/>
          <w:bCs/>
          <w:noProof/>
          <w:sz w:val="28"/>
          <w:szCs w:val="28"/>
        </w:rPr>
      </w:pPr>
    </w:p>
    <w:p w14:paraId="5F908602" w14:textId="77777777" w:rsidR="00627E88" w:rsidRDefault="00627E88" w:rsidP="00627E88">
      <w:pPr>
        <w:jc w:val="center"/>
        <w:rPr>
          <w:rFonts w:ascii="Comic Sans MS" w:hAnsi="Comic Sans MS"/>
          <w:b/>
          <w:bCs/>
          <w:noProof/>
          <w:sz w:val="28"/>
          <w:szCs w:val="28"/>
        </w:rPr>
      </w:pPr>
    </w:p>
    <w:p w14:paraId="18D4C643" w14:textId="77777777" w:rsidR="00627E88" w:rsidRDefault="00627E88" w:rsidP="00627E88">
      <w:pPr>
        <w:jc w:val="center"/>
        <w:rPr>
          <w:rFonts w:ascii="Comic Sans MS" w:hAnsi="Comic Sans MS"/>
          <w:b/>
          <w:bCs/>
          <w:noProof/>
          <w:sz w:val="28"/>
          <w:szCs w:val="28"/>
        </w:rPr>
      </w:pPr>
    </w:p>
    <w:p w14:paraId="253B1A40" w14:textId="77777777" w:rsidR="00627E88" w:rsidRDefault="00627E88" w:rsidP="00627E88">
      <w:pPr>
        <w:jc w:val="center"/>
        <w:rPr>
          <w:rFonts w:ascii="Comic Sans MS" w:hAnsi="Comic Sans MS"/>
          <w:b/>
          <w:bCs/>
          <w:noProof/>
          <w:sz w:val="28"/>
          <w:szCs w:val="28"/>
        </w:rPr>
      </w:pPr>
    </w:p>
    <w:p w14:paraId="29B80DDE" w14:textId="35C6C332" w:rsidR="00627E88" w:rsidRPr="00627E88" w:rsidRDefault="00627E88" w:rsidP="00627E88">
      <w:pPr>
        <w:jc w:val="center"/>
        <w:rPr>
          <w:rFonts w:ascii="Comic Sans MS" w:hAnsi="Comic Sans MS"/>
          <w:b/>
          <w:bCs/>
          <w:noProof/>
          <w:sz w:val="28"/>
          <w:szCs w:val="28"/>
        </w:rPr>
      </w:pPr>
      <w:r w:rsidRPr="00627E88">
        <w:rPr>
          <w:rFonts w:ascii="Comic Sans MS" w:hAnsi="Comic Sans MS"/>
          <w:b/>
          <w:bCs/>
          <w:noProof/>
          <w:sz w:val="28"/>
          <w:szCs w:val="28"/>
        </w:rPr>
        <w:lastRenderedPageBreak/>
        <w:t>PROGETTO GOI: PROGRAMMA DI SVILUPPO RURALE 2014-2020</w:t>
      </w:r>
    </w:p>
    <w:p w14:paraId="14F8C954" w14:textId="77777777" w:rsidR="00627E88" w:rsidRPr="00627E88" w:rsidRDefault="00627E88" w:rsidP="00627E88">
      <w:pPr>
        <w:pStyle w:val="Default"/>
        <w:spacing w:before="120"/>
        <w:jc w:val="cente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27E88">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WELLDONE</w:t>
      </w:r>
    </w:p>
    <w:p w14:paraId="72ADB78B" w14:textId="403AF7DE" w:rsidR="006176F4" w:rsidRDefault="006176F4" w:rsidP="00AB7294"/>
    <w:p w14:paraId="1879ABEE" w14:textId="77777777" w:rsidR="003D63EC" w:rsidRPr="00D71C99" w:rsidRDefault="003D63EC" w:rsidP="003D63EC">
      <w:pPr>
        <w:spacing w:after="120"/>
        <w:jc w:val="both"/>
        <w:outlineLvl w:val="2"/>
        <w:rPr>
          <w:rFonts w:ascii="Times New Roman" w:eastAsia="Times New Roman" w:hAnsi="Times New Roman" w:cs="Times New Roman"/>
          <w:b/>
          <w:bCs/>
          <w:color w:val="213457"/>
          <w:lang w:eastAsia="it-IT"/>
        </w:rPr>
      </w:pPr>
      <w:r w:rsidRPr="00D71C99">
        <w:rPr>
          <w:rFonts w:ascii="Times New Roman" w:eastAsia="Times New Roman" w:hAnsi="Times New Roman" w:cs="Times New Roman"/>
          <w:b/>
          <w:bCs/>
          <w:color w:val="213457"/>
          <w:lang w:eastAsia="it-IT"/>
        </w:rPr>
        <w:t>Progetto GOI – Programma di Sviluppo Rurale 2014-2020</w:t>
      </w:r>
    </w:p>
    <w:p w14:paraId="0EC580D6" w14:textId="77777777" w:rsidR="003D63EC" w:rsidRPr="00D71C99" w:rsidRDefault="003D63EC" w:rsidP="003D63EC">
      <w:pPr>
        <w:spacing w:after="120"/>
        <w:jc w:val="both"/>
        <w:outlineLvl w:val="2"/>
        <w:rPr>
          <w:rFonts w:ascii="Times New Roman" w:eastAsia="Times New Roman" w:hAnsi="Times New Roman" w:cs="Times New Roman"/>
          <w:b/>
          <w:bCs/>
          <w:color w:val="213457"/>
          <w:lang w:eastAsia="it-IT"/>
        </w:rPr>
      </w:pPr>
      <w:r w:rsidRPr="00D71C99">
        <w:rPr>
          <w:rFonts w:ascii="Times New Roman" w:eastAsia="Times New Roman" w:hAnsi="Times New Roman" w:cs="Times New Roman"/>
          <w:b/>
          <w:bCs/>
          <w:color w:val="213457"/>
          <w:lang w:eastAsia="it-IT"/>
        </w:rPr>
        <w:t>Il Progetto</w:t>
      </w:r>
    </w:p>
    <w:p w14:paraId="49EC4E22" w14:textId="77777777" w:rsidR="003D63EC" w:rsidRPr="00D71C99" w:rsidRDefault="003D63EC" w:rsidP="003D63EC">
      <w:pPr>
        <w:spacing w:after="31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color w:val="000000"/>
          <w:lang w:eastAsia="it-IT"/>
        </w:rPr>
        <w:t>Un </w:t>
      </w:r>
      <w:r w:rsidRPr="00D71C99">
        <w:rPr>
          <w:rFonts w:ascii="Times New Roman" w:eastAsia="Times New Roman" w:hAnsi="Times New Roman" w:cs="Times New Roman"/>
          <w:b/>
          <w:bCs/>
          <w:color w:val="000000"/>
          <w:lang w:eastAsia="it-IT"/>
        </w:rPr>
        <w:t>Gruppo Operativo (GO)</w:t>
      </w:r>
      <w:r w:rsidRPr="00D71C99">
        <w:rPr>
          <w:rFonts w:ascii="Times New Roman" w:eastAsia="Times New Roman" w:hAnsi="Times New Roman" w:cs="Times New Roman"/>
          <w:color w:val="000000"/>
          <w:lang w:eastAsia="it-IT"/>
        </w:rPr>
        <w:t> del </w:t>
      </w:r>
      <w:r w:rsidRPr="00D71C99">
        <w:rPr>
          <w:rFonts w:ascii="Times New Roman" w:eastAsia="Times New Roman" w:hAnsi="Times New Roman" w:cs="Times New Roman"/>
          <w:b/>
          <w:bCs/>
          <w:color w:val="000000"/>
          <w:lang w:eastAsia="it-IT"/>
        </w:rPr>
        <w:t xml:space="preserve">Partenariato Europeo per </w:t>
      </w:r>
      <w:proofErr w:type="gramStart"/>
      <w:r w:rsidRPr="00D71C99">
        <w:rPr>
          <w:rFonts w:ascii="Times New Roman" w:eastAsia="Times New Roman" w:hAnsi="Times New Roman" w:cs="Times New Roman"/>
          <w:b/>
          <w:bCs/>
          <w:color w:val="000000"/>
          <w:lang w:eastAsia="it-IT"/>
        </w:rPr>
        <w:t>l’ Innovazione</w:t>
      </w:r>
      <w:proofErr w:type="gramEnd"/>
      <w:r w:rsidRPr="00D71C99">
        <w:rPr>
          <w:rFonts w:ascii="Times New Roman" w:eastAsia="Times New Roman" w:hAnsi="Times New Roman" w:cs="Times New Roman"/>
          <w:b/>
          <w:bCs/>
          <w:color w:val="000000"/>
          <w:lang w:eastAsia="it-IT"/>
        </w:rPr>
        <w:t xml:space="preserve"> in materia di produttività e sostenibilità dell’agricoltura</w:t>
      </w:r>
      <w:r w:rsidRPr="00D71C99">
        <w:rPr>
          <w:rFonts w:ascii="Times New Roman" w:eastAsia="Times New Roman" w:hAnsi="Times New Roman" w:cs="Times New Roman"/>
          <w:color w:val="000000"/>
          <w:lang w:eastAsia="it-IT"/>
        </w:rPr>
        <w:t> (PEI AGRI) è uno strumento per la diffusione delle innovazioni nel settore agroalimentare e forestale che ha l’obiettivo di individuare soluzioni innovative a specifici problemi o di promuovere opportunità per le imprese agricole.</w:t>
      </w:r>
    </w:p>
    <w:p w14:paraId="097E57A1" w14:textId="77777777" w:rsidR="003D63EC" w:rsidRPr="00D71C99" w:rsidRDefault="003D63EC" w:rsidP="003D63EC">
      <w:pPr>
        <w:spacing w:after="31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color w:val="000000"/>
          <w:lang w:eastAsia="it-IT"/>
        </w:rPr>
        <w:t>La creazione dei GO è sostenuta finanziariamente dai </w:t>
      </w:r>
      <w:r w:rsidRPr="00D71C99">
        <w:rPr>
          <w:rFonts w:ascii="Times New Roman" w:eastAsia="Times New Roman" w:hAnsi="Times New Roman" w:cs="Times New Roman"/>
          <w:b/>
          <w:bCs/>
          <w:color w:val="000000"/>
          <w:lang w:eastAsia="it-IT"/>
        </w:rPr>
        <w:t>Programmi di Sviluppo Rurale (PSR)</w:t>
      </w:r>
      <w:r w:rsidRPr="00D71C99">
        <w:rPr>
          <w:rFonts w:ascii="Times New Roman" w:eastAsia="Times New Roman" w:hAnsi="Times New Roman" w:cs="Times New Roman"/>
          <w:color w:val="000000"/>
          <w:lang w:eastAsia="it-IT"/>
        </w:rPr>
        <w:t>della regione nell’ambito delle sottomisure 16.1 e 16.2.</w:t>
      </w:r>
    </w:p>
    <w:p w14:paraId="4EF476D5" w14:textId="0D2A639C" w:rsidR="003D63EC" w:rsidRPr="00D71C99" w:rsidRDefault="003D63EC" w:rsidP="003D63EC">
      <w:pPr>
        <w:spacing w:after="31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color w:val="000000"/>
          <w:lang w:eastAsia="it-IT"/>
        </w:rPr>
        <w:t>Nei progetti dei GO, gli attori della filiera dell’innovazione – imprese agricole, forestali, agroalimentari, centri di ricerca, università, organizzazioni di consulenza, ecc. – agiscono insieme per testare e diffondere una o più innovazioni in un dato contesto, coinvolgendo anche altre imprese del territorio mediante attività di consulenza e divulgazione.</w:t>
      </w:r>
    </w:p>
    <w:p w14:paraId="137F9DD3" w14:textId="77777777" w:rsidR="003D63EC" w:rsidRPr="00D71C99" w:rsidRDefault="003D63EC" w:rsidP="003D63EC">
      <w:pPr>
        <w:spacing w:after="120"/>
        <w:jc w:val="both"/>
        <w:outlineLvl w:val="2"/>
        <w:rPr>
          <w:rFonts w:ascii="Times New Roman" w:eastAsia="Times New Roman" w:hAnsi="Times New Roman" w:cs="Times New Roman"/>
          <w:b/>
          <w:bCs/>
          <w:color w:val="213457"/>
          <w:lang w:eastAsia="it-IT"/>
        </w:rPr>
      </w:pPr>
      <w:r w:rsidRPr="00D71C99">
        <w:rPr>
          <w:rFonts w:ascii="Times New Roman" w:eastAsia="Times New Roman" w:hAnsi="Times New Roman" w:cs="Times New Roman"/>
          <w:b/>
          <w:bCs/>
          <w:color w:val="213457"/>
          <w:lang w:eastAsia="it-IT"/>
        </w:rPr>
        <w:t>Programma di Sviluppo Rurale 2014-2020 – Regione Emilia-Romagna</w:t>
      </w:r>
    </w:p>
    <w:p w14:paraId="21D67654" w14:textId="77777777" w:rsidR="003D63EC" w:rsidRPr="00D71C99" w:rsidRDefault="003D63EC" w:rsidP="003D63EC">
      <w:pPr>
        <w:spacing w:after="31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color w:val="000000"/>
          <w:lang w:eastAsia="it-IT"/>
        </w:rPr>
        <w:t>Gruppi operativi del </w:t>
      </w:r>
      <w:r w:rsidRPr="00D71C99">
        <w:rPr>
          <w:rFonts w:ascii="Times New Roman" w:eastAsia="Times New Roman" w:hAnsi="Times New Roman" w:cs="Times New Roman"/>
          <w:b/>
          <w:bCs/>
          <w:color w:val="000000"/>
          <w:lang w:eastAsia="it-IT"/>
        </w:rPr>
        <w:t>PEI</w:t>
      </w:r>
      <w:r w:rsidRPr="00D71C99">
        <w:rPr>
          <w:rFonts w:ascii="Times New Roman" w:eastAsia="Times New Roman" w:hAnsi="Times New Roman" w:cs="Times New Roman"/>
          <w:color w:val="000000"/>
          <w:lang w:eastAsia="it-IT"/>
        </w:rPr>
        <w:t> per produttività e sostenibilità dell’agricoltura </w:t>
      </w:r>
      <w:r w:rsidRPr="00D71C99">
        <w:rPr>
          <w:rFonts w:ascii="Times New Roman" w:eastAsia="Times New Roman" w:hAnsi="Times New Roman" w:cs="Times New Roman"/>
          <w:b/>
          <w:bCs/>
          <w:color w:val="000000"/>
          <w:lang w:eastAsia="it-IT"/>
        </w:rPr>
        <w:t>Progetti Pilota/Supporto</w:t>
      </w:r>
      <w:r w:rsidRPr="00D71C99">
        <w:rPr>
          <w:rFonts w:ascii="Times New Roman" w:eastAsia="Times New Roman" w:hAnsi="Times New Roman" w:cs="Times New Roman"/>
          <w:color w:val="000000"/>
          <w:lang w:eastAsia="it-IT"/>
        </w:rPr>
        <w:t> per sviluppo di nuovi prodotti, pratiche, processi e tecnologie nel settore agroalimentare e forestale/ Approcci collettivi riduzione Gas serra.</w:t>
      </w:r>
    </w:p>
    <w:p w14:paraId="3B8643B7" w14:textId="77777777" w:rsidR="003D63EC" w:rsidRPr="00D71C99" w:rsidRDefault="003D63EC" w:rsidP="003D63EC">
      <w:pPr>
        <w:spacing w:after="31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color w:val="000000"/>
          <w:lang w:eastAsia="it-IT"/>
        </w:rPr>
        <w:t>Bando relativo all’operazione “</w:t>
      </w:r>
      <w:r w:rsidRPr="00D71C99">
        <w:rPr>
          <w:rFonts w:ascii="Times New Roman" w:eastAsia="Times New Roman" w:hAnsi="Times New Roman" w:cs="Times New Roman"/>
          <w:i/>
          <w:iCs/>
          <w:color w:val="000000"/>
          <w:lang w:eastAsia="it-IT"/>
        </w:rPr>
        <w:t xml:space="preserve">16.1.01 – F3A – Gruppi operativi del partenariato europeo per la produttività e la sostenibilità </w:t>
      </w:r>
      <w:proofErr w:type="gramStart"/>
      <w:r w:rsidRPr="00D71C99">
        <w:rPr>
          <w:rFonts w:ascii="Times New Roman" w:eastAsia="Times New Roman" w:hAnsi="Times New Roman" w:cs="Times New Roman"/>
          <w:i/>
          <w:iCs/>
          <w:color w:val="000000"/>
          <w:lang w:eastAsia="it-IT"/>
        </w:rPr>
        <w:t>dell’agricoltura</w:t>
      </w:r>
      <w:r w:rsidRPr="00D71C99">
        <w:rPr>
          <w:rFonts w:ascii="Times New Roman" w:eastAsia="Times New Roman" w:hAnsi="Times New Roman" w:cs="Times New Roman"/>
          <w:color w:val="000000"/>
          <w:lang w:eastAsia="it-IT"/>
        </w:rPr>
        <w:t>“</w:t>
      </w:r>
      <w:proofErr w:type="gramEnd"/>
      <w:r w:rsidRPr="00D71C99">
        <w:rPr>
          <w:rFonts w:ascii="Times New Roman" w:eastAsia="Times New Roman" w:hAnsi="Times New Roman" w:cs="Times New Roman"/>
          <w:color w:val="000000"/>
          <w:lang w:eastAsia="it-IT"/>
        </w:rPr>
        <w:t>.</w:t>
      </w:r>
    </w:p>
    <w:p w14:paraId="28E09D19" w14:textId="77777777" w:rsidR="003D63EC" w:rsidRPr="00D71C99" w:rsidRDefault="003D63EC" w:rsidP="003D63EC">
      <w:pPr>
        <w:numPr>
          <w:ilvl w:val="0"/>
          <w:numId w:val="1"/>
        </w:numPr>
        <w:spacing w:before="100" w:beforeAutospacing="1" w:after="144"/>
        <w:ind w:left="103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b/>
          <w:bCs/>
          <w:color w:val="000000"/>
          <w:lang w:eastAsia="it-IT"/>
        </w:rPr>
        <w:t>Anno</w:t>
      </w:r>
      <w:r w:rsidRPr="00D71C99">
        <w:rPr>
          <w:rFonts w:ascii="Times New Roman" w:eastAsia="Times New Roman" w:hAnsi="Times New Roman" w:cs="Times New Roman"/>
          <w:color w:val="000000"/>
          <w:lang w:eastAsia="it-IT"/>
        </w:rPr>
        <w:t>: 2020</w:t>
      </w:r>
    </w:p>
    <w:p w14:paraId="4BF784D9" w14:textId="77777777" w:rsidR="003D63EC" w:rsidRPr="00D71C99" w:rsidRDefault="003D63EC" w:rsidP="003D63EC">
      <w:pPr>
        <w:numPr>
          <w:ilvl w:val="0"/>
          <w:numId w:val="1"/>
        </w:numPr>
        <w:spacing w:before="100" w:beforeAutospacing="1" w:after="144"/>
        <w:ind w:left="103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b/>
          <w:bCs/>
          <w:color w:val="000000"/>
          <w:lang w:eastAsia="it-IT"/>
        </w:rPr>
        <w:t>Focus Area 3A</w:t>
      </w:r>
      <w:r w:rsidRPr="00D71C99">
        <w:rPr>
          <w:rFonts w:ascii="Times New Roman" w:eastAsia="Times New Roman" w:hAnsi="Times New Roman" w:cs="Times New Roman"/>
          <w:color w:val="000000"/>
          <w:lang w:eastAsia="it-IT"/>
        </w:rPr>
        <w:t>: Migliorare la competitività dei produttori primari integrandoli meglio nella filiera agroalimentare attraverso i regimi di qualità, la creazione di un valore aggiunto per i prodotti agricoli, la promozione dei prodotti nei mercati locali, le filiere corte, le associazioni e organizzazioni di produttori e le organizzazioni interprofessionali.</w:t>
      </w:r>
    </w:p>
    <w:p w14:paraId="71B05E95" w14:textId="77777777" w:rsidR="003D63EC" w:rsidRPr="00D71C99" w:rsidRDefault="003D63EC" w:rsidP="003D63EC">
      <w:pPr>
        <w:numPr>
          <w:ilvl w:val="0"/>
          <w:numId w:val="1"/>
        </w:numPr>
        <w:spacing w:before="100" w:beforeAutospacing="1" w:after="144"/>
        <w:ind w:left="103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b/>
          <w:bCs/>
          <w:color w:val="000000"/>
          <w:lang w:eastAsia="it-IT"/>
        </w:rPr>
        <w:t xml:space="preserve">Titolo del </w:t>
      </w:r>
      <w:proofErr w:type="spellStart"/>
      <w:proofErr w:type="gramStart"/>
      <w:r w:rsidRPr="00D71C99">
        <w:rPr>
          <w:rFonts w:ascii="Times New Roman" w:eastAsia="Times New Roman" w:hAnsi="Times New Roman" w:cs="Times New Roman"/>
          <w:b/>
          <w:bCs/>
          <w:color w:val="000000"/>
          <w:lang w:eastAsia="it-IT"/>
        </w:rPr>
        <w:t>GOI</w:t>
      </w:r>
      <w:r w:rsidRPr="00D71C99">
        <w:rPr>
          <w:rFonts w:ascii="Times New Roman" w:eastAsia="Times New Roman" w:hAnsi="Times New Roman" w:cs="Times New Roman"/>
          <w:color w:val="000000"/>
          <w:lang w:eastAsia="it-IT"/>
        </w:rPr>
        <w:t>:Definizione</w:t>
      </w:r>
      <w:proofErr w:type="spellEnd"/>
      <w:proofErr w:type="gramEnd"/>
      <w:r w:rsidRPr="00D71C99">
        <w:rPr>
          <w:rFonts w:ascii="Times New Roman" w:eastAsia="Times New Roman" w:hAnsi="Times New Roman" w:cs="Times New Roman"/>
          <w:color w:val="000000"/>
          <w:lang w:eastAsia="it-IT"/>
        </w:rPr>
        <w:t xml:space="preserve"> di uno strumento di analisi del rischio e di consulenza aziendale per</w:t>
      </w:r>
      <w:r w:rsidRPr="00D71C99">
        <w:rPr>
          <w:rFonts w:ascii="Times New Roman" w:eastAsia="Times New Roman" w:hAnsi="Times New Roman" w:cs="Times New Roman"/>
          <w:color w:val="000000"/>
          <w:lang w:eastAsia="it-IT"/>
        </w:rPr>
        <w:br/>
        <w:t>implementare il benessere animale e ridurre la necessità di impiego di antibiotici nel suino pesante.</w:t>
      </w:r>
    </w:p>
    <w:p w14:paraId="16296D99" w14:textId="77777777" w:rsidR="003D63EC" w:rsidRPr="00D71C99" w:rsidRDefault="003D63EC" w:rsidP="003D63EC">
      <w:pPr>
        <w:numPr>
          <w:ilvl w:val="0"/>
          <w:numId w:val="1"/>
        </w:numPr>
        <w:spacing w:before="100" w:beforeAutospacing="1" w:after="144"/>
        <w:ind w:left="1032"/>
        <w:jc w:val="both"/>
        <w:rPr>
          <w:rFonts w:ascii="Times New Roman" w:eastAsia="Times New Roman" w:hAnsi="Times New Roman" w:cs="Times New Roman"/>
          <w:color w:val="000000"/>
          <w:lang w:eastAsia="it-IT"/>
        </w:rPr>
      </w:pPr>
      <w:r w:rsidRPr="00D71C99">
        <w:rPr>
          <w:rFonts w:ascii="Times New Roman" w:eastAsia="Times New Roman" w:hAnsi="Times New Roman" w:cs="Times New Roman"/>
          <w:b/>
          <w:bCs/>
          <w:color w:val="000000"/>
          <w:lang w:eastAsia="it-IT"/>
        </w:rPr>
        <w:t>Acronimo</w:t>
      </w:r>
      <w:r w:rsidRPr="00D71C99">
        <w:rPr>
          <w:rFonts w:ascii="Times New Roman" w:eastAsia="Times New Roman" w:hAnsi="Times New Roman" w:cs="Times New Roman"/>
          <w:color w:val="000000"/>
          <w:lang w:eastAsia="it-IT"/>
        </w:rPr>
        <w:t>: GO “WELLDONE PIG”</w:t>
      </w:r>
    </w:p>
    <w:p w14:paraId="4E5E369C" w14:textId="77777777" w:rsidR="003D63EC" w:rsidRPr="00D71C99" w:rsidRDefault="003D63EC" w:rsidP="003D63EC">
      <w:pPr>
        <w:spacing w:after="120"/>
        <w:jc w:val="both"/>
        <w:outlineLvl w:val="2"/>
        <w:rPr>
          <w:rFonts w:ascii="Times New Roman" w:eastAsia="Times New Roman" w:hAnsi="Times New Roman" w:cs="Times New Roman"/>
          <w:b/>
          <w:bCs/>
          <w:color w:val="213457"/>
          <w:lang w:eastAsia="it-IT"/>
        </w:rPr>
      </w:pPr>
      <w:r w:rsidRPr="00D71C99">
        <w:rPr>
          <w:rFonts w:ascii="Times New Roman" w:eastAsia="Times New Roman" w:hAnsi="Times New Roman" w:cs="Times New Roman"/>
          <w:b/>
          <w:bCs/>
          <w:color w:val="213457"/>
          <w:lang w:eastAsia="it-IT"/>
        </w:rPr>
        <w:t>Gli Obiettivi</w:t>
      </w:r>
    </w:p>
    <w:p w14:paraId="0F61E913" w14:textId="77777777" w:rsidR="003D63EC" w:rsidRDefault="003D63EC" w:rsidP="003D63EC">
      <w:pPr>
        <w:spacing w:after="312"/>
        <w:rPr>
          <w:rFonts w:ascii="Times New Roman" w:eastAsia="Times New Roman" w:hAnsi="Times New Roman" w:cs="Times New Roman"/>
          <w:color w:val="000000"/>
          <w:lang w:eastAsia="it-IT"/>
        </w:rPr>
      </w:pPr>
      <w:r w:rsidRPr="00D71C99">
        <w:rPr>
          <w:rFonts w:ascii="Times New Roman" w:eastAsia="Times New Roman" w:hAnsi="Times New Roman" w:cs="Times New Roman"/>
          <w:color w:val="000000"/>
          <w:lang w:eastAsia="it-IT"/>
        </w:rPr>
        <w:t>Il benessere animale è considerato ad oggi un valore aggiunto in tutte le fasi della filiera suinicola, in quanto ad un miglioramento delle condizioni di allevamento è collegato un miglioramento delle condizioni di salute degli animali, ponendolo, di fatto, al centro delle strategie preventive in grado di ridurre l’insorgenza di malattie e il conseguente impiego di antibiotici. Inoltre, un miglioramento delle condizioni di benessere degli animali in allevati, è collegato a migliori performance produttive e ad una riduzione di scarti alla macellazione e alla trasformazione, aumentando il valore della produzione. Infine, il rispetto dei requisiti minimi di protezione animale. Per questo motivo anche la grande distribuzione e le filiere stesse si stanno adeguando alle nuove richieste di acquisto dei consumatori.</w:t>
      </w:r>
      <w:r w:rsidRPr="00D71C99">
        <w:rPr>
          <w:rFonts w:ascii="Times New Roman" w:eastAsia="Times New Roman" w:hAnsi="Times New Roman" w:cs="Times New Roman"/>
          <w:color w:val="000000"/>
          <w:lang w:eastAsia="it-IT"/>
        </w:rPr>
        <w:br/>
        <w:t xml:space="preserve">L’analisi del sistema uno strumento in grado di migliorare un determinato sistema produttivo. sistema può essere applicato anche al tema del benessere animale in suinicoltura, nonostante strumenti di questo tipo </w:t>
      </w:r>
      <w:r w:rsidRPr="00D71C99">
        <w:rPr>
          <w:rFonts w:ascii="Times New Roman" w:eastAsia="Times New Roman" w:hAnsi="Times New Roman" w:cs="Times New Roman"/>
          <w:color w:val="000000"/>
          <w:lang w:eastAsia="it-IT"/>
        </w:rPr>
        <w:lastRenderedPageBreak/>
        <w:t xml:space="preserve">ancora non sono stati applicati in Italia. La finalità di questo progetto è quella di realizzare uno strumento di analisi e di gestione del rischio per il benessere animale applicato al suino pesante destinato alle produzioni DOP, che consenta di migliorare e di apportare innovazione nel sistema di gestione della filiera. Lo strumento sarà ottenuto integrando la checklist ministeriale </w:t>
      </w:r>
      <w:proofErr w:type="spellStart"/>
      <w:r w:rsidRPr="00D71C99">
        <w:rPr>
          <w:rFonts w:ascii="Times New Roman" w:eastAsia="Times New Roman" w:hAnsi="Times New Roman" w:cs="Times New Roman"/>
          <w:color w:val="000000"/>
          <w:lang w:eastAsia="it-IT"/>
        </w:rPr>
        <w:t>Classyfarm</w:t>
      </w:r>
      <w:proofErr w:type="spellEnd"/>
      <w:r w:rsidRPr="00D71C99">
        <w:rPr>
          <w:rFonts w:ascii="Times New Roman" w:eastAsia="Times New Roman" w:hAnsi="Times New Roman" w:cs="Times New Roman"/>
          <w:color w:val="000000"/>
          <w:lang w:eastAsia="it-IT"/>
        </w:rPr>
        <w:t xml:space="preserve"> con altri parametri</w:t>
      </w:r>
      <w:r>
        <w:rPr>
          <w:rFonts w:ascii="Times New Roman" w:eastAsia="Times New Roman" w:hAnsi="Times New Roman" w:cs="Times New Roman"/>
          <w:color w:val="000000"/>
          <w:lang w:eastAsia="it-IT"/>
        </w:rPr>
        <w:t xml:space="preserve"> </w:t>
      </w:r>
      <w:r w:rsidRPr="00D71C99">
        <w:rPr>
          <w:rFonts w:ascii="Times New Roman" w:eastAsia="Times New Roman" w:hAnsi="Times New Roman" w:cs="Times New Roman"/>
          <w:color w:val="000000"/>
          <w:lang w:eastAsia="it-IT"/>
        </w:rPr>
        <w:t>innovativi, al fine di fornire agli attori della filiera uno strumento in grado di aumentare il valore delle produzioni, attraverso il miglioramento del benessere animale, la riduzione dei trattamenti sanitari, la riduzione delle perdite produttive e degli scarti alla macellazione e trasformazione.</w:t>
      </w:r>
      <w:r w:rsidRPr="00D71C99">
        <w:rPr>
          <w:rFonts w:ascii="Times New Roman" w:eastAsia="Times New Roman" w:hAnsi="Times New Roman" w:cs="Times New Roman"/>
          <w:color w:val="000000"/>
          <w:lang w:eastAsia="it-IT"/>
        </w:rPr>
        <w:br/>
        <w:t>– obiettivi generali e specifici</w:t>
      </w:r>
      <w:r w:rsidRPr="00D71C99">
        <w:rPr>
          <w:rFonts w:ascii="Times New Roman" w:eastAsia="Times New Roman" w:hAnsi="Times New Roman" w:cs="Times New Roman"/>
          <w:color w:val="000000"/>
          <w:lang w:eastAsia="it-IT"/>
        </w:rPr>
        <w:br/>
        <w:t>Pertanto, si rende necessario il raggiungimento dei seguenti obbiettivi specifici:</w:t>
      </w:r>
      <w:r w:rsidRPr="00D71C99">
        <w:rPr>
          <w:rFonts w:ascii="Times New Roman" w:eastAsia="Times New Roman" w:hAnsi="Times New Roman" w:cs="Times New Roman"/>
          <w:color w:val="000000"/>
          <w:lang w:eastAsia="it-IT"/>
        </w:rPr>
        <w:br/>
        <w:t xml:space="preserve">– Integrazione di procedure derivanti dal sistema </w:t>
      </w:r>
      <w:proofErr w:type="spellStart"/>
      <w:r w:rsidRPr="00D71C99">
        <w:rPr>
          <w:rFonts w:ascii="Times New Roman" w:eastAsia="Times New Roman" w:hAnsi="Times New Roman" w:cs="Times New Roman"/>
          <w:color w:val="000000"/>
          <w:lang w:eastAsia="it-IT"/>
        </w:rPr>
        <w:t>Classyfarm</w:t>
      </w:r>
      <w:proofErr w:type="spellEnd"/>
      <w:r w:rsidRPr="00D71C99">
        <w:rPr>
          <w:rFonts w:ascii="Times New Roman" w:eastAsia="Times New Roman" w:hAnsi="Times New Roman" w:cs="Times New Roman"/>
          <w:color w:val="000000"/>
          <w:lang w:eastAsia="it-IT"/>
        </w:rPr>
        <w:t xml:space="preserve"> con i parametri ottenuti dai precedenti progetti finanziati (PSR-RER2014-2020: 16.1.01-F3A GOI SUINOANTIBIOTICFREE͟ 2016-2019; 16.2.01 PROGETTO FILIERA CODE 2018-2020), per rilevare i punti critici per il benessere e la salute dei suini, ottimizzare gli standard produttivi e ridurre gli scarti alla macellazione, migliorando la qualità dei prodotti derivati;</w:t>
      </w:r>
      <w:r w:rsidRPr="00D71C99">
        <w:rPr>
          <w:rFonts w:ascii="Times New Roman" w:eastAsia="Times New Roman" w:hAnsi="Times New Roman" w:cs="Times New Roman"/>
          <w:color w:val="000000"/>
          <w:lang w:eastAsia="it-IT"/>
        </w:rPr>
        <w:br/>
        <w:t xml:space="preserve">– Supportare l’allevamento di animali a coda non tagliata, facilitando gli allevatori nell’adeguamento alla Direttiva 2008/120 e agli obbiettivi definiti da </w:t>
      </w:r>
      <w:proofErr w:type="spellStart"/>
      <w:r w:rsidRPr="00D71C99">
        <w:rPr>
          <w:rFonts w:ascii="Times New Roman" w:eastAsia="Times New Roman" w:hAnsi="Times New Roman" w:cs="Times New Roman"/>
          <w:color w:val="000000"/>
          <w:lang w:eastAsia="it-IT"/>
        </w:rPr>
        <w:t>Classyfarm</w:t>
      </w:r>
      <w:proofErr w:type="spellEnd"/>
      <w:r w:rsidRPr="00D71C99">
        <w:rPr>
          <w:rFonts w:ascii="Times New Roman" w:eastAsia="Times New Roman" w:hAnsi="Times New Roman" w:cs="Times New Roman"/>
          <w:color w:val="000000"/>
          <w:lang w:eastAsia="it-IT"/>
        </w:rPr>
        <w:t>;</w:t>
      </w:r>
      <w:r w:rsidRPr="00D71C99">
        <w:rPr>
          <w:rFonts w:ascii="Times New Roman" w:eastAsia="Times New Roman" w:hAnsi="Times New Roman" w:cs="Times New Roman"/>
          <w:color w:val="000000"/>
          <w:lang w:eastAsia="it-IT"/>
        </w:rPr>
        <w:br/>
        <w:t>– In allevamento, migliorare gli standard di BA, identificando i principali fattori di rischio e pianificando le misure correttive;</w:t>
      </w:r>
      <w:r w:rsidRPr="00D71C99">
        <w:rPr>
          <w:rFonts w:ascii="Times New Roman" w:eastAsia="Times New Roman" w:hAnsi="Times New Roman" w:cs="Times New Roman"/>
          <w:color w:val="000000"/>
          <w:lang w:eastAsia="it-IT"/>
        </w:rPr>
        <w:br/>
        <w:t xml:space="preserve">– Al macello, identificare le problematiche di BA riconducibili dalle fasi di </w:t>
      </w:r>
      <w:proofErr w:type="spellStart"/>
      <w:r w:rsidRPr="00D71C99">
        <w:rPr>
          <w:rFonts w:ascii="Times New Roman" w:eastAsia="Times New Roman" w:hAnsi="Times New Roman" w:cs="Times New Roman"/>
          <w:color w:val="000000"/>
          <w:lang w:eastAsia="it-IT"/>
        </w:rPr>
        <w:t>premacellazione</w:t>
      </w:r>
      <w:proofErr w:type="spellEnd"/>
      <w:r w:rsidRPr="00D71C99">
        <w:rPr>
          <w:rFonts w:ascii="Times New Roman" w:eastAsia="Times New Roman" w:hAnsi="Times New Roman" w:cs="Times New Roman"/>
          <w:color w:val="000000"/>
          <w:lang w:eastAsia="it-IT"/>
        </w:rPr>
        <w:t>;</w:t>
      </w:r>
      <w:r w:rsidRPr="00D71C99">
        <w:rPr>
          <w:rFonts w:ascii="Times New Roman" w:eastAsia="Times New Roman" w:hAnsi="Times New Roman" w:cs="Times New Roman"/>
          <w:color w:val="000000"/>
          <w:lang w:eastAsia="it-IT"/>
        </w:rPr>
        <w:br/>
        <w:t xml:space="preserve">– Fornire un supporto tecnico-gestionale per limitare </w:t>
      </w:r>
      <w:proofErr w:type="spellStart"/>
      <w:r w:rsidRPr="00D71C99">
        <w:rPr>
          <w:rFonts w:ascii="Times New Roman" w:eastAsia="Times New Roman" w:hAnsi="Times New Roman" w:cs="Times New Roman"/>
          <w:color w:val="000000"/>
          <w:lang w:eastAsia="it-IT"/>
        </w:rPr>
        <w:t>l͛iŵpatto</w:t>
      </w:r>
      <w:proofErr w:type="spellEnd"/>
      <w:r w:rsidRPr="00D71C99">
        <w:rPr>
          <w:rFonts w:ascii="Times New Roman" w:eastAsia="Times New Roman" w:hAnsi="Times New Roman" w:cs="Times New Roman"/>
          <w:color w:val="000000"/>
          <w:lang w:eastAsia="it-IT"/>
        </w:rPr>
        <w:t xml:space="preserve"> delle problematiche di BA sulla produzione, per migliorare la materia prima destinata alla trasformazione;</w:t>
      </w:r>
      <w:r w:rsidRPr="00D71C99">
        <w:rPr>
          <w:rFonts w:ascii="Times New Roman" w:eastAsia="Times New Roman" w:hAnsi="Times New Roman" w:cs="Times New Roman"/>
          <w:color w:val="000000"/>
          <w:lang w:eastAsia="it-IT"/>
        </w:rPr>
        <w:br/>
        <w:t>– Progettare interventi di consulenza aziendale per il miglioramento della gestione aziendale con particolare riferimento al BA;</w:t>
      </w:r>
      <w:r w:rsidRPr="00D71C99">
        <w:rPr>
          <w:rFonts w:ascii="Times New Roman" w:eastAsia="Times New Roman" w:hAnsi="Times New Roman" w:cs="Times New Roman"/>
          <w:color w:val="000000"/>
          <w:lang w:eastAsia="it-IT"/>
        </w:rPr>
        <w:br/>
        <w:t>– Migliorare la formazione degli addetti per il miglioramento delle procedure relative al BA.</w:t>
      </w:r>
    </w:p>
    <w:p w14:paraId="58A9B78C" w14:textId="039F92B2" w:rsidR="00016508" w:rsidRPr="00016508" w:rsidRDefault="00016508" w:rsidP="00016508">
      <w:pPr>
        <w:pStyle w:val="Paragrafoelenco"/>
        <w:numPr>
          <w:ilvl w:val="0"/>
          <w:numId w:val="3"/>
        </w:numPr>
        <w:spacing w:after="312"/>
        <w:rPr>
          <w:rFonts w:ascii="Times New Roman" w:eastAsia="Times New Roman" w:hAnsi="Times New Roman" w:cs="Times New Roman"/>
          <w:color w:val="000000"/>
          <w:lang w:eastAsia="it-IT"/>
        </w:rPr>
      </w:pPr>
      <w:r w:rsidRPr="00016508">
        <w:rPr>
          <w:rFonts w:ascii="Times New Roman" w:eastAsia="Times New Roman" w:hAnsi="Times New Roman" w:cs="Times New Roman"/>
          <w:color w:val="000000"/>
          <w:lang w:eastAsia="it-IT"/>
        </w:rPr>
        <w:t>Importo finanziato</w:t>
      </w:r>
      <w:r>
        <w:rPr>
          <w:rFonts w:ascii="Times New Roman" w:eastAsia="Times New Roman" w:hAnsi="Times New Roman" w:cs="Times New Roman"/>
          <w:color w:val="000000"/>
          <w:lang w:eastAsia="it-IT"/>
        </w:rPr>
        <w:t xml:space="preserve"> </w:t>
      </w:r>
      <w:r w:rsidR="00014FCD">
        <w:rPr>
          <w:rFonts w:ascii="Times New Roman" w:eastAsia="Times New Roman" w:hAnsi="Times New Roman" w:cs="Times New Roman"/>
          <w:color w:val="000000"/>
          <w:lang w:eastAsia="it-IT"/>
        </w:rPr>
        <w:t>9180.00 €</w:t>
      </w:r>
      <w:r w:rsidRPr="00016508">
        <w:rPr>
          <w:rFonts w:ascii="Times New Roman" w:eastAsia="Times New Roman" w:hAnsi="Times New Roman" w:cs="Times New Roman"/>
          <w:color w:val="000000"/>
          <w:lang w:eastAsia="it-IT"/>
        </w:rPr>
        <w:t xml:space="preserve"> </w:t>
      </w:r>
    </w:p>
    <w:p w14:paraId="7206AC90" w14:textId="77777777" w:rsidR="003D63EC" w:rsidRPr="00D71C99" w:rsidRDefault="003D63EC" w:rsidP="003D63EC">
      <w:pPr>
        <w:jc w:val="both"/>
        <w:rPr>
          <w:rFonts w:ascii="Times New Roman" w:hAnsi="Times New Roman" w:cs="Times New Roman"/>
        </w:rPr>
      </w:pPr>
    </w:p>
    <w:p w14:paraId="3D3A4D27" w14:textId="77777777" w:rsidR="00122220" w:rsidRPr="00E430D4" w:rsidRDefault="00122220" w:rsidP="00627E88">
      <w:pPr>
        <w:jc w:val="both"/>
      </w:pPr>
    </w:p>
    <w:sectPr w:rsidR="00122220" w:rsidRPr="00E430D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285A" w14:textId="77777777" w:rsidR="00DD4923" w:rsidRDefault="00DD4923" w:rsidP="00627E88">
      <w:r>
        <w:separator/>
      </w:r>
    </w:p>
  </w:endnote>
  <w:endnote w:type="continuationSeparator" w:id="0">
    <w:p w14:paraId="1D250CE5" w14:textId="77777777" w:rsidR="00DD4923" w:rsidRDefault="00DD4923" w:rsidP="006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5D58" w14:textId="77777777" w:rsidR="00DD4923" w:rsidRDefault="00DD4923" w:rsidP="00627E88">
      <w:r>
        <w:separator/>
      </w:r>
    </w:p>
  </w:footnote>
  <w:footnote w:type="continuationSeparator" w:id="0">
    <w:p w14:paraId="694796ED" w14:textId="77777777" w:rsidR="00DD4923" w:rsidRDefault="00DD4923" w:rsidP="0062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FE74" w14:textId="4F4C1826" w:rsidR="00627E88" w:rsidRDefault="00627E88">
    <w:pPr>
      <w:pStyle w:val="Intestazione"/>
    </w:pPr>
    <w:r>
      <w:rPr>
        <w:noProof/>
      </w:rPr>
      <w:drawing>
        <wp:inline distT="0" distB="0" distL="0" distR="0" wp14:anchorId="3547399B" wp14:editId="7A9B1EA9">
          <wp:extent cx="6120130" cy="1061720"/>
          <wp:effectExtent l="0" t="0" r="0" b="5080"/>
          <wp:docPr id="1922420783"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420783" name="Immagine 1" descr="Immagine che contiene testo, schermata, Carattere&#10;&#10;Descrizione generata automaticamente"/>
                  <pic:cNvPicPr/>
                </pic:nvPicPr>
                <pic:blipFill>
                  <a:blip r:embed="rId1"/>
                  <a:stretch>
                    <a:fillRect/>
                  </a:stretch>
                </pic:blipFill>
                <pic:spPr>
                  <a:xfrm>
                    <a:off x="0" y="0"/>
                    <a:ext cx="6120130" cy="1061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AB6"/>
    <w:multiLevelType w:val="multilevel"/>
    <w:tmpl w:val="E60E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72209"/>
    <w:multiLevelType w:val="multilevel"/>
    <w:tmpl w:val="D90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B39C6"/>
    <w:multiLevelType w:val="hybridMultilevel"/>
    <w:tmpl w:val="AF5620EA"/>
    <w:lvl w:ilvl="0" w:tplc="CFB26E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8812144">
    <w:abstractNumId w:val="0"/>
  </w:num>
  <w:num w:numId="2" w16cid:durableId="358051925">
    <w:abstractNumId w:val="1"/>
  </w:num>
  <w:num w:numId="3" w16cid:durableId="85919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D4"/>
    <w:rsid w:val="00014FCD"/>
    <w:rsid w:val="00016508"/>
    <w:rsid w:val="00122220"/>
    <w:rsid w:val="0031222E"/>
    <w:rsid w:val="003D63EC"/>
    <w:rsid w:val="006176F4"/>
    <w:rsid w:val="00627E88"/>
    <w:rsid w:val="007F7FC1"/>
    <w:rsid w:val="00A72D18"/>
    <w:rsid w:val="00AB5EA9"/>
    <w:rsid w:val="00AB7294"/>
    <w:rsid w:val="00DD4923"/>
    <w:rsid w:val="00E430D4"/>
    <w:rsid w:val="00F51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130F"/>
  <w15:chartTrackingRefBased/>
  <w15:docId w15:val="{7C090EC8-B111-4C86-982D-4279F352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7294"/>
    <w:pPr>
      <w:spacing w:after="0" w:line="240" w:lineRule="auto"/>
    </w:pPr>
    <w:rPr>
      <w:rFonts w:ascii="Calibri" w:hAnsi="Calibri" w:cs="Calibri"/>
      <w:kern w:val="0"/>
    </w:rPr>
  </w:style>
  <w:style w:type="paragraph" w:styleId="Titolo1">
    <w:name w:val="heading 1"/>
    <w:basedOn w:val="Normale"/>
    <w:next w:val="Normale"/>
    <w:link w:val="Titolo1Carattere"/>
    <w:uiPriority w:val="9"/>
    <w:qFormat/>
    <w:rsid w:val="00E430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430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430D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430D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430D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430D4"/>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430D4"/>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430D4"/>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430D4"/>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30D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430D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430D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430D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430D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430D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430D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430D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430D4"/>
    <w:rPr>
      <w:rFonts w:eastAsiaTheme="majorEastAsia" w:cstheme="majorBidi"/>
      <w:color w:val="272727" w:themeColor="text1" w:themeTint="D8"/>
    </w:rPr>
  </w:style>
  <w:style w:type="paragraph" w:styleId="Titolo">
    <w:name w:val="Title"/>
    <w:basedOn w:val="Normale"/>
    <w:next w:val="Normale"/>
    <w:link w:val="TitoloCarattere"/>
    <w:uiPriority w:val="10"/>
    <w:qFormat/>
    <w:rsid w:val="00E430D4"/>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430D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430D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430D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430D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430D4"/>
    <w:rPr>
      <w:i/>
      <w:iCs/>
      <w:color w:val="404040" w:themeColor="text1" w:themeTint="BF"/>
    </w:rPr>
  </w:style>
  <w:style w:type="paragraph" w:styleId="Paragrafoelenco">
    <w:name w:val="List Paragraph"/>
    <w:basedOn w:val="Normale"/>
    <w:uiPriority w:val="34"/>
    <w:qFormat/>
    <w:rsid w:val="00E430D4"/>
    <w:pPr>
      <w:ind w:left="720"/>
      <w:contextualSpacing/>
    </w:pPr>
  </w:style>
  <w:style w:type="character" w:styleId="Enfasiintensa">
    <w:name w:val="Intense Emphasis"/>
    <w:basedOn w:val="Carpredefinitoparagrafo"/>
    <w:uiPriority w:val="21"/>
    <w:qFormat/>
    <w:rsid w:val="00E430D4"/>
    <w:rPr>
      <w:i/>
      <w:iCs/>
      <w:color w:val="0F4761" w:themeColor="accent1" w:themeShade="BF"/>
    </w:rPr>
  </w:style>
  <w:style w:type="paragraph" w:styleId="Citazioneintensa">
    <w:name w:val="Intense Quote"/>
    <w:basedOn w:val="Normale"/>
    <w:next w:val="Normale"/>
    <w:link w:val="CitazioneintensaCarattere"/>
    <w:uiPriority w:val="30"/>
    <w:qFormat/>
    <w:rsid w:val="00E430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430D4"/>
    <w:rPr>
      <w:i/>
      <w:iCs/>
      <w:color w:val="0F4761" w:themeColor="accent1" w:themeShade="BF"/>
    </w:rPr>
  </w:style>
  <w:style w:type="character" w:styleId="Riferimentointenso">
    <w:name w:val="Intense Reference"/>
    <w:basedOn w:val="Carpredefinitoparagrafo"/>
    <w:uiPriority w:val="32"/>
    <w:qFormat/>
    <w:rsid w:val="00E430D4"/>
    <w:rPr>
      <w:b/>
      <w:bCs/>
      <w:smallCaps/>
      <w:color w:val="0F4761" w:themeColor="accent1" w:themeShade="BF"/>
      <w:spacing w:val="5"/>
    </w:rPr>
  </w:style>
  <w:style w:type="paragraph" w:customStyle="1" w:styleId="Default">
    <w:name w:val="Default"/>
    <w:basedOn w:val="Normale"/>
    <w:rsid w:val="00AB7294"/>
    <w:pPr>
      <w:autoSpaceDE w:val="0"/>
      <w:autoSpaceDN w:val="0"/>
    </w:pPr>
    <w:rPr>
      <w:color w:val="000000"/>
      <w:sz w:val="24"/>
      <w:szCs w:val="24"/>
      <w14:ligatures w14:val="none"/>
    </w:rPr>
  </w:style>
  <w:style w:type="paragraph" w:styleId="Intestazione">
    <w:name w:val="header"/>
    <w:basedOn w:val="Normale"/>
    <w:link w:val="IntestazioneCarattere"/>
    <w:uiPriority w:val="99"/>
    <w:unhideWhenUsed/>
    <w:rsid w:val="00627E88"/>
    <w:pPr>
      <w:tabs>
        <w:tab w:val="center" w:pos="4819"/>
        <w:tab w:val="right" w:pos="9638"/>
      </w:tabs>
    </w:pPr>
  </w:style>
  <w:style w:type="character" w:customStyle="1" w:styleId="IntestazioneCarattere">
    <w:name w:val="Intestazione Carattere"/>
    <w:basedOn w:val="Carpredefinitoparagrafo"/>
    <w:link w:val="Intestazione"/>
    <w:uiPriority w:val="99"/>
    <w:rsid w:val="00627E88"/>
    <w:rPr>
      <w:rFonts w:ascii="Calibri" w:hAnsi="Calibri" w:cs="Calibri"/>
      <w:kern w:val="0"/>
    </w:rPr>
  </w:style>
  <w:style w:type="paragraph" w:styleId="Pidipagina">
    <w:name w:val="footer"/>
    <w:basedOn w:val="Normale"/>
    <w:link w:val="PidipaginaCarattere"/>
    <w:uiPriority w:val="99"/>
    <w:unhideWhenUsed/>
    <w:rsid w:val="00627E88"/>
    <w:pPr>
      <w:tabs>
        <w:tab w:val="center" w:pos="4819"/>
        <w:tab w:val="right" w:pos="9638"/>
      </w:tabs>
    </w:pPr>
  </w:style>
  <w:style w:type="character" w:customStyle="1" w:styleId="PidipaginaCarattere">
    <w:name w:val="Piè di pagina Carattere"/>
    <w:basedOn w:val="Carpredefinitoparagrafo"/>
    <w:link w:val="Pidipagina"/>
    <w:uiPriority w:val="99"/>
    <w:rsid w:val="00627E88"/>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183">
      <w:bodyDiv w:val="1"/>
      <w:marLeft w:val="0"/>
      <w:marRight w:val="0"/>
      <w:marTop w:val="0"/>
      <w:marBottom w:val="0"/>
      <w:divBdr>
        <w:top w:val="none" w:sz="0" w:space="0" w:color="auto"/>
        <w:left w:val="none" w:sz="0" w:space="0" w:color="auto"/>
        <w:bottom w:val="none" w:sz="0" w:space="0" w:color="auto"/>
        <w:right w:val="none" w:sz="0" w:space="0" w:color="auto"/>
      </w:divBdr>
    </w:div>
    <w:div w:id="12814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8193</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Benatti</dc:creator>
  <cp:keywords/>
  <dc:description/>
  <cp:lastModifiedBy>Daniele Benatti</cp:lastModifiedBy>
  <cp:revision>2</cp:revision>
  <dcterms:created xsi:type="dcterms:W3CDTF">2024-02-16T16:04:00Z</dcterms:created>
  <dcterms:modified xsi:type="dcterms:W3CDTF">2024-02-16T16:04:00Z</dcterms:modified>
</cp:coreProperties>
</file>